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123A1E7" w14:textId="4AB5D98E" w:rsidR="004F2D44" w:rsidRPr="00F91926" w:rsidRDefault="004F2D44" w:rsidP="00D114B8">
      <w:pPr>
        <w:ind w:left="-360" w:right="-3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D114B8" w:rsidRPr="00D114B8">
        <w:rPr>
          <w:rFonts w:ascii="Book Antiqua" w:hAnsi="Book Antiqua" w:cs="Arial"/>
          <w:b/>
          <w:bCs/>
          <w:color w:val="365F91" w:themeColor="accent1" w:themeShade="BF"/>
          <w:sz w:val="22"/>
          <w:szCs w:val="22"/>
        </w:rPr>
        <w:t xml:space="preserve">Transmission scheme for evacuation of 4.5 GW RE injection at </w:t>
      </w:r>
      <w:proofErr w:type="spellStart"/>
      <w:r w:rsidR="00D114B8" w:rsidRPr="00D114B8">
        <w:rPr>
          <w:rFonts w:ascii="Book Antiqua" w:hAnsi="Book Antiqua" w:cs="Arial"/>
          <w:b/>
          <w:bCs/>
          <w:color w:val="365F91" w:themeColor="accent1" w:themeShade="BF"/>
          <w:sz w:val="22"/>
          <w:szCs w:val="22"/>
        </w:rPr>
        <w:t>Khavda</w:t>
      </w:r>
      <w:proofErr w:type="spellEnd"/>
      <w:r w:rsidR="00D114B8" w:rsidRPr="00D114B8">
        <w:rPr>
          <w:rFonts w:ascii="Book Antiqua" w:hAnsi="Book Antiqua" w:cs="Arial"/>
          <w:b/>
          <w:bCs/>
          <w:color w:val="365F91" w:themeColor="accent1" w:themeShade="BF"/>
          <w:sz w:val="22"/>
          <w:szCs w:val="22"/>
        </w:rPr>
        <w:t xml:space="preserve"> PS under Phase-II (Part A)</w:t>
      </w:r>
      <w:r w:rsidRPr="00F91926">
        <w:rPr>
          <w:rFonts w:ascii="Book Antiqua" w:hAnsi="Book Antiqua" w:cs="Arial"/>
          <w:b/>
          <w:bCs/>
          <w:color w:val="365F91" w:themeColor="accent1" w:themeShade="BF"/>
          <w:sz w:val="22"/>
          <w:szCs w:val="22"/>
        </w:rPr>
        <w:t>”.</w:t>
      </w:r>
    </w:p>
    <w:p w14:paraId="0F06F369" w14:textId="77777777" w:rsidR="004F2D44" w:rsidRPr="00F91926" w:rsidRDefault="004F2D44" w:rsidP="004F2D44">
      <w:pPr>
        <w:jc w:val="center"/>
        <w:rPr>
          <w:rFonts w:ascii="Book Antiqua" w:hAnsi="Book Antiqua" w:cs="Arial"/>
          <w:b/>
          <w:bCs/>
          <w:color w:val="365F91" w:themeColor="accent1" w:themeShade="BF"/>
          <w:sz w:val="22"/>
          <w:szCs w:val="22"/>
        </w:rPr>
      </w:pPr>
    </w:p>
    <w:p w14:paraId="08FD061A" w14:textId="3062175D" w:rsidR="003646BE" w:rsidRPr="00182149" w:rsidRDefault="004F2D44" w:rsidP="004F2D44">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w:t>
      </w:r>
      <w:r w:rsidR="00D114B8">
        <w:rPr>
          <w:rFonts w:ascii="Book Antiqua" w:hAnsi="Book Antiqua" w:cs="Arial"/>
          <w:b/>
          <w:bCs/>
          <w:color w:val="365F91" w:themeColor="accent1" w:themeShade="BF"/>
          <w:sz w:val="22"/>
          <w:szCs w:val="22"/>
        </w:rPr>
        <w:t>12</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91FA39B" w14:textId="77777777" w:rsidR="006E5D35" w:rsidRPr="00FC0343" w:rsidRDefault="006E5D35" w:rsidP="006E5D35">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Pr>
          <w:rFonts w:ascii="Book Antiqua" w:hAnsi="Book Antiqua" w:cs="Arial"/>
          <w:sz w:val="22"/>
          <w:szCs w:val="22"/>
        </w:rPr>
        <w:t xml:space="preserve">effective </w:t>
      </w:r>
      <w:r w:rsidRPr="00F25C6C">
        <w:rPr>
          <w:rFonts w:ascii="Book Antiqua" w:hAnsi="Book Antiqua" w:cs="Arial"/>
          <w:sz w:val="22"/>
          <w:szCs w:val="22"/>
        </w:rPr>
        <w:t>date</w:t>
      </w:r>
      <w:r>
        <w:rPr>
          <w:rFonts w:ascii="Book Antiqua" w:hAnsi="Book Antiqua" w:cs="Arial"/>
          <w:sz w:val="22"/>
          <w:szCs w:val="22"/>
        </w:rPr>
        <w:t>/</w:t>
      </w:r>
      <w:r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Pr="00F25C6C">
        <w:rPr>
          <w:rFonts w:ascii="Book Antiqua" w:hAnsi="Book Antiqua" w:cs="Arial"/>
          <w:sz w:val="22"/>
          <w:szCs w:val="22"/>
        </w:rPr>
        <w:t>GeM</w:t>
      </w:r>
      <w:proofErr w:type="spellEnd"/>
      <w:r w:rsidRPr="00F25C6C">
        <w:rPr>
          <w:rFonts w:ascii="Book Antiqua" w:hAnsi="Book Antiqua" w:cs="Arial"/>
          <w:sz w:val="22"/>
          <w:szCs w:val="22"/>
        </w:rPr>
        <w:t xml:space="preserve"> Contract Order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 xml:space="preserve">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58602728" w14:textId="77777777" w:rsidR="001F32EC" w:rsidRDefault="001F32EC" w:rsidP="00604079">
      <w:pPr>
        <w:ind w:left="1134"/>
        <w:jc w:val="both"/>
        <w:rPr>
          <w:rFonts w:ascii="Book Antiqua" w:hAnsi="Book Antiqua" w:cs="Arial"/>
          <w:sz w:val="22"/>
          <w:szCs w:val="22"/>
        </w:rPr>
      </w:pPr>
    </w:p>
    <w:p w14:paraId="37109C64" w14:textId="77777777" w:rsidR="001F32EC" w:rsidRDefault="001F32E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lastRenderedPageBreak/>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3A1C3E13" w14:textId="77777777" w:rsidR="001F32EC" w:rsidRDefault="001F32EC" w:rsidP="00604079">
      <w:pPr>
        <w:ind w:left="1134" w:hanging="992"/>
        <w:jc w:val="both"/>
        <w:rPr>
          <w:rFonts w:ascii="Book Antiqua" w:hAnsi="Book Antiqua" w:cs="Arial"/>
          <w:sz w:val="22"/>
          <w:szCs w:val="22"/>
        </w:rPr>
      </w:pPr>
    </w:p>
    <w:p w14:paraId="7D5EBAAC" w14:textId="77777777" w:rsidR="001F32EC" w:rsidRPr="00FC0343" w:rsidRDefault="001F32EC" w:rsidP="00604079">
      <w:pPr>
        <w:ind w:left="1134" w:hanging="992"/>
        <w:jc w:val="both"/>
        <w:rPr>
          <w:rFonts w:ascii="Book Antiqua" w:hAnsi="Book Antiqua" w:cs="Arial"/>
          <w:sz w:val="22"/>
          <w:szCs w:val="22"/>
        </w:rPr>
      </w:pP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lastRenderedPageBreak/>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w:t>
            </w:r>
            <w:r w:rsidRPr="00BD65B7">
              <w:rPr>
                <w:rFonts w:ascii="Book Antiqua" w:hAnsi="Book Antiqua" w:cs="Arial"/>
                <w:sz w:val="22"/>
                <w:szCs w:val="22"/>
              </w:rPr>
              <w:lastRenderedPageBreak/>
              <w:t>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5318BE42"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w:t>
      </w:r>
      <w:r w:rsidRPr="00C762B3">
        <w:rPr>
          <w:rFonts w:ascii="Book Antiqua" w:hAnsi="Book Antiqua" w:cs="Arial"/>
          <w:spacing w:val="-2"/>
          <w:sz w:val="22"/>
          <w:szCs w:val="22"/>
        </w:rPr>
        <w:t>fill</w:t>
      </w:r>
      <w:r w:rsidR="002A1011" w:rsidRPr="00C762B3">
        <w:rPr>
          <w:rFonts w:ascii="Book Antiqua" w:hAnsi="Book Antiqua" w:cs="Arial"/>
          <w:spacing w:val="-2"/>
          <w:sz w:val="22"/>
          <w:szCs w:val="22"/>
        </w:rPr>
        <w:t>ed</w:t>
      </w:r>
      <w:r w:rsidRPr="002C5C39">
        <w:rPr>
          <w:rFonts w:ascii="Book Antiqua" w:hAnsi="Book Antiqua" w:cs="Arial"/>
          <w:spacing w:val="-2"/>
          <w:sz w:val="22"/>
          <w:szCs w:val="22"/>
        </w:rPr>
        <w:t xml:space="preserve">/uploaded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GST</w:t>
      </w:r>
      <w:r w:rsidR="00691E21">
        <w:rPr>
          <w:rFonts w:ascii="Book Antiqua" w:hAnsi="Book Antiqua" w:cs="Arial"/>
          <w:spacing w:val="-2"/>
          <w:sz w:val="22"/>
          <w:szCs w:val="22"/>
        </w:rPr>
        <w:t>( it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documents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1BF86854"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w:t>
      </w:r>
      <w:r w:rsidR="00C762B3" w:rsidRPr="00C762B3">
        <w:rPr>
          <w:rFonts w:ascii="Book Antiqua" w:hAnsi="Book Antiqua" w:cs="Arial"/>
          <w:spacing w:val="-2"/>
          <w:sz w:val="22"/>
          <w:szCs w:val="22"/>
        </w:rPr>
        <w:t xml:space="preserve"> </w:t>
      </w:r>
      <w:r w:rsidR="002A1011" w:rsidRPr="00C762B3">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w:t>
      </w:r>
      <w:r w:rsidR="00C762B3">
        <w:rPr>
          <w:rFonts w:ascii="Book Antiqua" w:hAnsi="Book Antiqua" w:cs="Arial"/>
          <w:spacing w:val="-2"/>
          <w:sz w:val="22"/>
          <w:szCs w:val="22"/>
        </w:rPr>
        <w:t xml:space="preserve">and </w:t>
      </w:r>
      <w:r w:rsidR="00604079" w:rsidRPr="00FC0343">
        <w:rPr>
          <w:rFonts w:ascii="Book Antiqua" w:hAnsi="Book Antiqua" w:cs="Arial"/>
          <w:spacing w:val="-2"/>
          <w:sz w:val="22"/>
          <w:szCs w:val="22"/>
        </w:rPr>
        <w:t xml:space="preserve">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BE0F735"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C762B3">
        <w:rPr>
          <w:rFonts w:ascii="Book Antiqua" w:hAnsi="Book Antiqua" w:cs="Arial"/>
          <w:spacing w:val="-2"/>
          <w:sz w:val="22"/>
          <w:szCs w:val="22"/>
        </w:rPr>
        <w:t xml:space="preserve"> </w:t>
      </w:r>
      <w:r w:rsidR="00604079" w:rsidRPr="00FC0343">
        <w:rPr>
          <w:rFonts w:ascii="Book Antiqua" w:hAnsi="Book Antiqua" w:cs="Arial"/>
          <w:spacing w:val="-2"/>
          <w:sz w:val="22"/>
          <w:szCs w:val="22"/>
        </w:rPr>
        <w:t>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7F676CB3" w14:textId="77777777" w:rsidR="00022EF8" w:rsidRPr="00FC0343" w:rsidRDefault="00022EF8" w:rsidP="005D2389">
      <w:pPr>
        <w:ind w:left="1134" w:hanging="992"/>
        <w:jc w:val="both"/>
        <w:rPr>
          <w:rFonts w:ascii="Book Antiqua" w:hAnsi="Book Antiqua" w:cs="Arial"/>
          <w:sz w:val="22"/>
          <w:szCs w:val="22"/>
        </w:rPr>
      </w:pPr>
    </w:p>
    <w:p w14:paraId="360C56F4" w14:textId="77777777" w:rsidR="003C18BA" w:rsidRDefault="003C18BA" w:rsidP="00925C04">
      <w:pPr>
        <w:ind w:left="1134" w:hanging="1003"/>
        <w:jc w:val="both"/>
        <w:rPr>
          <w:rFonts w:ascii="Book Antiqua" w:hAnsi="Book Antiqua" w:cs="Arial"/>
          <w:b/>
          <w:sz w:val="22"/>
          <w:szCs w:val="22"/>
        </w:rPr>
      </w:pPr>
    </w:p>
    <w:p w14:paraId="51AA841F" w14:textId="77777777" w:rsidR="006F44AF" w:rsidRDefault="006F44AF" w:rsidP="00925C04">
      <w:pPr>
        <w:ind w:left="1134" w:hanging="1003"/>
        <w:jc w:val="both"/>
        <w:rPr>
          <w:rFonts w:ascii="Book Antiqua" w:hAnsi="Book Antiqua" w:cs="Arial"/>
          <w:b/>
          <w:sz w:val="22"/>
          <w:szCs w:val="22"/>
        </w:rPr>
      </w:pPr>
    </w:p>
    <w:p w14:paraId="0B0556CE" w14:textId="77777777" w:rsidR="006F44AF" w:rsidRDefault="006F44AF" w:rsidP="00925C04">
      <w:pPr>
        <w:ind w:left="1134" w:hanging="1003"/>
        <w:jc w:val="both"/>
        <w:rPr>
          <w:rFonts w:ascii="Book Antiqua" w:hAnsi="Book Antiqua" w:cs="Arial"/>
          <w:b/>
          <w:sz w:val="22"/>
          <w:szCs w:val="22"/>
        </w:rPr>
      </w:pP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lastRenderedPageBreak/>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lastRenderedPageBreak/>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C5E8D1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Virendra (Manager, </w:t>
      </w:r>
      <w:r w:rsidR="00F16960">
        <w:rPr>
          <w:rFonts w:ascii="Book Antiqua" w:hAnsi="Book Antiqua"/>
          <w:b/>
          <w:bCs/>
          <w:lang w:val="en-GB"/>
        </w:rPr>
        <w:t>C&amp;M-CTUIL</w:t>
      </w:r>
      <w:r w:rsidR="00701E23" w:rsidRPr="00701E23">
        <w:rPr>
          <w:rFonts w:ascii="Book Antiqua" w:hAnsi="Book Antiqua"/>
          <w:b/>
          <w:bCs/>
          <w:lang w:val="en-GB"/>
        </w:rPr>
        <w:t xml:space="preserve">)/ </w:t>
      </w:r>
    </w:p>
    <w:p w14:paraId="01D63FAE" w14:textId="42A290EF" w:rsidR="00E71A30"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Rahul (Manager, </w:t>
      </w:r>
      <w:r w:rsidR="00F16960">
        <w:rPr>
          <w:rFonts w:ascii="Book Antiqua" w:hAnsi="Book Antiqua"/>
          <w:b/>
          <w:bCs/>
          <w:lang w:val="en-GB"/>
        </w:rPr>
        <w:t>C&amp;M-CTUIL</w:t>
      </w:r>
      <w:r w:rsidRPr="00701E23">
        <w:rPr>
          <w:rFonts w:ascii="Book Antiqua" w:hAnsi="Book Antiqua"/>
          <w:b/>
          <w:bCs/>
          <w:lang w:val="en-GB"/>
        </w:rPr>
        <w:t>)</w:t>
      </w:r>
      <w:r w:rsidR="007761FF">
        <w:rPr>
          <w:rFonts w:ascii="Book Antiqua" w:hAnsi="Book Antiqua"/>
          <w:b/>
          <w:bCs/>
          <w:lang w:val="en-GB"/>
        </w:rPr>
        <w:t>/</w:t>
      </w:r>
    </w:p>
    <w:p w14:paraId="7ADADF3D" w14:textId="4619666F" w:rsidR="007761FF" w:rsidRPr="00E71A30" w:rsidRDefault="007761FF" w:rsidP="00701E23">
      <w:pPr>
        <w:pStyle w:val="NoSpacing"/>
        <w:ind w:left="3600"/>
        <w:rPr>
          <w:rFonts w:ascii="Book Antiqua" w:hAnsi="Book Antiqua"/>
          <w:b/>
          <w:bCs/>
          <w:lang w:val="en-GB"/>
        </w:rPr>
      </w:pPr>
      <w:r>
        <w:rPr>
          <w:rFonts w:ascii="Book Antiqua" w:hAnsi="Book Antiqua"/>
          <w:b/>
          <w:bCs/>
          <w:lang w:val="en-GB"/>
        </w:rPr>
        <w:t>Mr. Dwaipayan Sen (Manager, C&amp;M-CTUIL)</w:t>
      </w:r>
    </w:p>
    <w:p w14:paraId="1355A6D8" w14:textId="77777777" w:rsidR="00E71A30" w:rsidRPr="00E71A30" w:rsidRDefault="00E71A30" w:rsidP="00E71A30">
      <w:pPr>
        <w:pStyle w:val="NoSpacing"/>
        <w:rPr>
          <w:rFonts w:ascii="Book Antiqua" w:hAnsi="Book Antiqua"/>
          <w:b/>
          <w:bCs/>
          <w:lang w:val="en-GB"/>
        </w:rPr>
      </w:pPr>
    </w:p>
    <w:p w14:paraId="57EE5B86" w14:textId="78C3B3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+91-124-282-3303/2369</w:t>
      </w:r>
      <w:r w:rsidR="007761FF">
        <w:rPr>
          <w:rFonts w:ascii="Book Antiqua" w:hAnsi="Book Antiqua"/>
          <w:b/>
          <w:bCs/>
          <w:lang w:val="en-GB"/>
        </w:rPr>
        <w:t>/2176</w:t>
      </w:r>
    </w:p>
    <w:p w14:paraId="033456BB" w14:textId="5960FD0D"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+91- 9599814158/9205472328</w:t>
      </w:r>
      <w:r w:rsidR="007761FF">
        <w:rPr>
          <w:rFonts w:ascii="Book Antiqua" w:hAnsi="Book Antiqua"/>
          <w:b/>
          <w:bCs/>
          <w:lang w:val="en-GB"/>
        </w:rPr>
        <w:t>/9205287422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90BA4FB"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05</w:t>
      </w:r>
      <w:r w:rsidR="00B76342" w:rsidRPr="00356028">
        <w:rPr>
          <w:rFonts w:ascii="Book Antiqua" w:hAnsi="Book Antiqua" w:cs="Arial"/>
          <w:sz w:val="22"/>
          <w:szCs w:val="22"/>
        </w:rPr>
        <w:t>(</w:t>
      </w:r>
      <w:r w:rsidR="00B138F2" w:rsidRPr="00356028">
        <w:rPr>
          <w:rFonts w:ascii="Book Antiqua" w:hAnsi="Book Antiqua" w:cs="Arial"/>
          <w:sz w:val="22"/>
          <w:szCs w:val="22"/>
        </w:rPr>
        <w:t>five</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working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lastRenderedPageBreak/>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lastRenderedPageBreak/>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rules:-</w:t>
      </w:r>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lastRenderedPageBreak/>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lastRenderedPageBreak/>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lastRenderedPageBreak/>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w:t>
      </w:r>
      <w:r w:rsidRPr="00994B1B">
        <w:rPr>
          <w:rFonts w:ascii="Book Antiqua" w:hAnsi="Book Antiqua" w:cs="Arial"/>
          <w:sz w:val="22"/>
          <w:szCs w:val="22"/>
        </w:rPr>
        <w:lastRenderedPageBreak/>
        <w:t>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E87F5C9" w:rsidR="00022EF8" w:rsidRPr="00022EF8" w:rsidRDefault="00022EF8" w:rsidP="00022EF8">
      <w:pPr>
        <w:pStyle w:val="ListParagraph"/>
        <w:numPr>
          <w:ilvl w:val="0"/>
          <w:numId w:val="41"/>
        </w:numPr>
        <w:jc w:val="both"/>
        <w:rPr>
          <w:rFonts w:ascii="Book Antiqua" w:eastAsia="Batang" w:hAnsi="Book Antiqua" w:cs="Arial"/>
          <w:color w:val="000000" w:themeColor="text1"/>
          <w:sz w:val="22"/>
          <w:szCs w:val="22"/>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493632CC"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as per</w:t>
      </w:r>
      <w:r w:rsidR="00C55494">
        <w:rPr>
          <w:rFonts w:ascii="Book Antiqua" w:hAnsi="Book Antiqua" w:cs="Arial"/>
          <w:sz w:val="22"/>
          <w:szCs w:val="22"/>
        </w:rPr>
        <w:t xml:space="preserve">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lastRenderedPageBreak/>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197D8AB3"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FF75CB">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w:t>
      </w:r>
      <w:r w:rsidR="00430FA2" w:rsidRPr="008653C5">
        <w:rPr>
          <w:rFonts w:ascii="Book Antiqua" w:hAnsi="Book Antiqua" w:cs="Arial"/>
          <w:sz w:val="22"/>
          <w:szCs w:val="22"/>
        </w:rPr>
        <w:lastRenderedPageBreak/>
        <w:t xml:space="preserve">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Consultant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611FDD4D" w14:textId="77777777" w:rsidR="00022EF8" w:rsidRDefault="00022EF8"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3F853B1A" w14:textId="77777777" w:rsidR="00022EF8" w:rsidRDefault="00022EF8" w:rsidP="002C2D0B">
      <w:pPr>
        <w:ind w:left="1134" w:hanging="1003"/>
        <w:jc w:val="both"/>
        <w:rPr>
          <w:rFonts w:ascii="Book Antiqua" w:hAnsi="Book Antiqua" w:cs="Arial"/>
          <w:sz w:val="22"/>
          <w:szCs w:val="22"/>
        </w:rPr>
      </w:pPr>
    </w:p>
    <w:p w14:paraId="2D751AE9" w14:textId="77777777" w:rsidR="00022EF8" w:rsidRDefault="00022EF8" w:rsidP="002C2D0B">
      <w:pPr>
        <w:ind w:left="1134" w:hanging="1003"/>
        <w:jc w:val="both"/>
        <w:rPr>
          <w:rFonts w:ascii="Book Antiqua" w:hAnsi="Book Antiqua" w:cs="Arial"/>
          <w:sz w:val="22"/>
          <w:szCs w:val="22"/>
        </w:rPr>
      </w:pPr>
    </w:p>
    <w:p w14:paraId="195F76A4" w14:textId="77777777" w:rsidR="00022EF8" w:rsidRDefault="00022EF8" w:rsidP="002C2D0B">
      <w:pPr>
        <w:ind w:left="1134" w:hanging="1003"/>
        <w:jc w:val="both"/>
        <w:rPr>
          <w:rFonts w:ascii="Book Antiqua" w:hAnsi="Book Antiqua" w:cs="Arial"/>
          <w:sz w:val="22"/>
          <w:szCs w:val="22"/>
        </w:rPr>
      </w:pP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lastRenderedPageBreak/>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31C08225" w14:textId="77777777" w:rsidR="00022EF8" w:rsidRDefault="00022EF8" w:rsidP="00140946">
      <w:pPr>
        <w:ind w:left="1134" w:hanging="1003"/>
        <w:jc w:val="both"/>
        <w:rPr>
          <w:rFonts w:ascii="Book Antiqua" w:hAnsi="Book Antiqua" w:cs="Arial"/>
          <w:sz w:val="22"/>
          <w:szCs w:val="22"/>
        </w:rPr>
      </w:pPr>
    </w:p>
    <w:p w14:paraId="56CDE264" w14:textId="77777777" w:rsidR="00022EF8" w:rsidRDefault="00022EF8" w:rsidP="00140946">
      <w:pPr>
        <w:ind w:left="1134" w:hanging="1003"/>
        <w:jc w:val="both"/>
        <w:rPr>
          <w:rFonts w:ascii="Book Antiqua" w:hAnsi="Book Antiqua" w:cs="Arial"/>
          <w:sz w:val="22"/>
          <w:szCs w:val="22"/>
        </w:rPr>
      </w:pPr>
    </w:p>
    <w:p w14:paraId="5E7F703E" w14:textId="77777777" w:rsidR="00022EF8" w:rsidRDefault="00022EF8" w:rsidP="00140946">
      <w:pPr>
        <w:ind w:left="1134" w:hanging="1003"/>
        <w:jc w:val="both"/>
        <w:rPr>
          <w:rFonts w:ascii="Book Antiqua" w:hAnsi="Book Antiqua" w:cs="Arial"/>
          <w:sz w:val="22"/>
          <w:szCs w:val="22"/>
        </w:rPr>
      </w:pPr>
    </w:p>
    <w:p w14:paraId="18476B64" w14:textId="77777777" w:rsidR="00022EF8" w:rsidRDefault="00022EF8" w:rsidP="00140946">
      <w:pPr>
        <w:ind w:left="1134" w:hanging="1003"/>
        <w:jc w:val="both"/>
        <w:rPr>
          <w:rFonts w:ascii="Book Antiqua" w:hAnsi="Book Antiqua" w:cs="Arial"/>
          <w:sz w:val="22"/>
          <w:szCs w:val="22"/>
        </w:rPr>
      </w:pPr>
    </w:p>
    <w:p w14:paraId="339EB476" w14:textId="77777777" w:rsidR="00022EF8" w:rsidRDefault="00022EF8"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78933417" w14:textId="77777777" w:rsidR="00022EF8" w:rsidRDefault="00022EF8" w:rsidP="00D221C9">
      <w:pPr>
        <w:ind w:left="1134" w:hanging="992"/>
        <w:jc w:val="both"/>
        <w:rPr>
          <w:rFonts w:ascii="Book Antiqua" w:hAnsi="Book Antiqua" w:cs="Arial"/>
          <w:b/>
          <w:sz w:val="22"/>
          <w:szCs w:val="22"/>
        </w:rPr>
      </w:pPr>
    </w:p>
    <w:p w14:paraId="069D96A9" w14:textId="77777777" w:rsidR="00022EF8" w:rsidRDefault="00022EF8" w:rsidP="00D221C9">
      <w:pPr>
        <w:ind w:left="1134" w:hanging="992"/>
        <w:jc w:val="both"/>
        <w:rPr>
          <w:rFonts w:ascii="Book Antiqua" w:hAnsi="Book Antiqua" w:cs="Arial"/>
          <w:b/>
          <w:sz w:val="22"/>
          <w:szCs w:val="22"/>
        </w:rPr>
      </w:pPr>
    </w:p>
    <w:p w14:paraId="12E7B354" w14:textId="77777777" w:rsidR="00022EF8" w:rsidRDefault="00022EF8"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lastRenderedPageBreak/>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lastRenderedPageBreak/>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3ACF0" w14:textId="77777777" w:rsidR="00444FCE" w:rsidRDefault="00444FCE" w:rsidP="003E7F85">
      <w:r>
        <w:separator/>
      </w:r>
    </w:p>
  </w:endnote>
  <w:endnote w:type="continuationSeparator" w:id="0">
    <w:p w14:paraId="099C8771" w14:textId="77777777" w:rsidR="00444FCE" w:rsidRDefault="00444FCE"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E3242F" w:rsidRPr="00FC0343" w14:paraId="6B63190A" w14:textId="77777777" w:rsidTr="003646BE">
      <w:tc>
        <w:tcPr>
          <w:tcW w:w="9360" w:type="dxa"/>
        </w:tcPr>
        <w:p w14:paraId="5946F123" w14:textId="08ABB083" w:rsidR="00E3242F" w:rsidRPr="00FC0343" w:rsidRDefault="00E3242F"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E3242F" w:rsidRPr="00FC0343" w:rsidRDefault="00E3242F"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E3242F" w:rsidRDefault="00E32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4D3DB" w14:textId="77777777" w:rsidR="00444FCE" w:rsidRDefault="00444FCE" w:rsidP="003E7F85">
      <w:r>
        <w:separator/>
      </w:r>
    </w:p>
  </w:footnote>
  <w:footnote w:type="continuationSeparator" w:id="0">
    <w:p w14:paraId="62BCF87F" w14:textId="77777777" w:rsidR="00444FCE" w:rsidRDefault="00444FCE"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5661309">
    <w:abstractNumId w:val="5"/>
  </w:num>
  <w:num w:numId="2" w16cid:durableId="1008144818">
    <w:abstractNumId w:val="17"/>
  </w:num>
  <w:num w:numId="3" w16cid:durableId="1165197101">
    <w:abstractNumId w:val="4"/>
  </w:num>
  <w:num w:numId="4" w16cid:durableId="1846359538">
    <w:abstractNumId w:val="23"/>
  </w:num>
  <w:num w:numId="5" w16cid:durableId="1371145803">
    <w:abstractNumId w:val="27"/>
  </w:num>
  <w:num w:numId="6" w16cid:durableId="147022072">
    <w:abstractNumId w:val="3"/>
  </w:num>
  <w:num w:numId="7" w16cid:durableId="121853496">
    <w:abstractNumId w:val="28"/>
  </w:num>
  <w:num w:numId="8" w16cid:durableId="621418276">
    <w:abstractNumId w:val="25"/>
  </w:num>
  <w:num w:numId="9" w16cid:durableId="7997750">
    <w:abstractNumId w:val="16"/>
  </w:num>
  <w:num w:numId="10" w16cid:durableId="2124810932">
    <w:abstractNumId w:val="12"/>
  </w:num>
  <w:num w:numId="11" w16cid:durableId="1443919825">
    <w:abstractNumId w:val="0"/>
  </w:num>
  <w:num w:numId="12" w16cid:durableId="728571294">
    <w:abstractNumId w:val="2"/>
  </w:num>
  <w:num w:numId="13" w16cid:durableId="1036656766">
    <w:abstractNumId w:val="33"/>
  </w:num>
  <w:num w:numId="14" w16cid:durableId="1809860649">
    <w:abstractNumId w:val="40"/>
  </w:num>
  <w:num w:numId="15" w16cid:durableId="114906877">
    <w:abstractNumId w:val="18"/>
  </w:num>
  <w:num w:numId="16" w16cid:durableId="42487244">
    <w:abstractNumId w:val="7"/>
  </w:num>
  <w:num w:numId="17" w16cid:durableId="382753909">
    <w:abstractNumId w:val="34"/>
  </w:num>
  <w:num w:numId="18" w16cid:durableId="458449945">
    <w:abstractNumId w:val="14"/>
  </w:num>
  <w:num w:numId="19" w16cid:durableId="2121876542">
    <w:abstractNumId w:val="35"/>
  </w:num>
  <w:num w:numId="20" w16cid:durableId="394427852">
    <w:abstractNumId w:val="10"/>
  </w:num>
  <w:num w:numId="21" w16cid:durableId="947275648">
    <w:abstractNumId w:val="8"/>
  </w:num>
  <w:num w:numId="22" w16cid:durableId="660741794">
    <w:abstractNumId w:val="31"/>
  </w:num>
  <w:num w:numId="23" w16cid:durableId="110384441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7075637">
    <w:abstractNumId w:val="39"/>
  </w:num>
  <w:num w:numId="25" w16cid:durableId="328364531">
    <w:abstractNumId w:val="1"/>
  </w:num>
  <w:num w:numId="26" w16cid:durableId="1365014026">
    <w:abstractNumId w:val="15"/>
  </w:num>
  <w:num w:numId="27" w16cid:durableId="1908608733">
    <w:abstractNumId w:val="21"/>
  </w:num>
  <w:num w:numId="28" w16cid:durableId="502357082">
    <w:abstractNumId w:val="30"/>
  </w:num>
  <w:num w:numId="29" w16cid:durableId="1630209158">
    <w:abstractNumId w:val="29"/>
  </w:num>
  <w:num w:numId="30" w16cid:durableId="160774427">
    <w:abstractNumId w:val="24"/>
  </w:num>
  <w:num w:numId="31" w16cid:durableId="1710764289">
    <w:abstractNumId w:val="13"/>
  </w:num>
  <w:num w:numId="32" w16cid:durableId="752628827">
    <w:abstractNumId w:val="38"/>
  </w:num>
  <w:num w:numId="33" w16cid:durableId="995377452">
    <w:abstractNumId w:val="36"/>
  </w:num>
  <w:num w:numId="34" w16cid:durableId="529877440">
    <w:abstractNumId w:val="20"/>
  </w:num>
  <w:num w:numId="35" w16cid:durableId="1325742206">
    <w:abstractNumId w:val="11"/>
  </w:num>
  <w:num w:numId="36" w16cid:durableId="122583272">
    <w:abstractNumId w:val="32"/>
  </w:num>
  <w:num w:numId="37" w16cid:durableId="1200508370">
    <w:abstractNumId w:val="22"/>
  </w:num>
  <w:num w:numId="38" w16cid:durableId="96294856">
    <w:abstractNumId w:val="26"/>
  </w:num>
  <w:num w:numId="39" w16cid:durableId="1666662924">
    <w:abstractNumId w:val="9"/>
  </w:num>
  <w:num w:numId="40" w16cid:durableId="1188642673">
    <w:abstractNumId w:val="37"/>
  </w:num>
  <w:num w:numId="41" w16cid:durableId="1836414521">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011"/>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283"/>
    <w:rsid w:val="0035150A"/>
    <w:rsid w:val="0035243D"/>
    <w:rsid w:val="0035283F"/>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4FCE"/>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E5D35"/>
    <w:rsid w:val="006F051C"/>
    <w:rsid w:val="006F11FD"/>
    <w:rsid w:val="006F1B97"/>
    <w:rsid w:val="006F2D44"/>
    <w:rsid w:val="006F2DC2"/>
    <w:rsid w:val="006F3B04"/>
    <w:rsid w:val="006F43CC"/>
    <w:rsid w:val="006F44AF"/>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1FF"/>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5BE8"/>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06D4"/>
    <w:rsid w:val="00BE4C08"/>
    <w:rsid w:val="00BE7A04"/>
    <w:rsid w:val="00BE7E40"/>
    <w:rsid w:val="00BF1A40"/>
    <w:rsid w:val="00BF445C"/>
    <w:rsid w:val="00BF653D"/>
    <w:rsid w:val="00C0154B"/>
    <w:rsid w:val="00C02778"/>
    <w:rsid w:val="00C0330C"/>
    <w:rsid w:val="00C056F0"/>
    <w:rsid w:val="00C061E2"/>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5763C"/>
    <w:rsid w:val="00C60DC1"/>
    <w:rsid w:val="00C61515"/>
    <w:rsid w:val="00C623B4"/>
    <w:rsid w:val="00C64642"/>
    <w:rsid w:val="00C667E2"/>
    <w:rsid w:val="00C66899"/>
    <w:rsid w:val="00C67C3F"/>
    <w:rsid w:val="00C7202D"/>
    <w:rsid w:val="00C727FC"/>
    <w:rsid w:val="00C730C0"/>
    <w:rsid w:val="00C73143"/>
    <w:rsid w:val="00C75BD4"/>
    <w:rsid w:val="00C762B3"/>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4B8"/>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242F"/>
    <w:rsid w:val="00E34D36"/>
    <w:rsid w:val="00E35A88"/>
    <w:rsid w:val="00E415C8"/>
    <w:rsid w:val="00E42951"/>
    <w:rsid w:val="00E53AA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4027"/>
    <w:rsid w:val="00EA55AC"/>
    <w:rsid w:val="00EA575B"/>
    <w:rsid w:val="00EA66DB"/>
    <w:rsid w:val="00EA70FB"/>
    <w:rsid w:val="00EB0DA8"/>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6960"/>
    <w:rsid w:val="00F17EE3"/>
    <w:rsid w:val="00F21501"/>
    <w:rsid w:val="00F25178"/>
    <w:rsid w:val="00F25C6C"/>
    <w:rsid w:val="00F27130"/>
    <w:rsid w:val="00F30342"/>
    <w:rsid w:val="00F314BA"/>
    <w:rsid w:val="00F31EAF"/>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94F28"/>
    <w:rsid w:val="00FA6EC7"/>
    <w:rsid w:val="00FA735B"/>
    <w:rsid w:val="00FB0EE7"/>
    <w:rsid w:val="00FB1E9B"/>
    <w:rsid w:val="00FB2CF9"/>
    <w:rsid w:val="00FB3657"/>
    <w:rsid w:val="00FB5B8B"/>
    <w:rsid w:val="00FB65C5"/>
    <w:rsid w:val="00FC0343"/>
    <w:rsid w:val="00FC0536"/>
    <w:rsid w:val="00FC0791"/>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22BC3-2DF1-42B8-B168-4BD65631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5855</TotalTime>
  <Pages>39</Pages>
  <Words>13876</Words>
  <Characters>79095</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143</cp:revision>
  <cp:lastPrinted>2022-12-28T11:59:00Z</cp:lastPrinted>
  <dcterms:created xsi:type="dcterms:W3CDTF">2022-07-11T07:01:00Z</dcterms:created>
  <dcterms:modified xsi:type="dcterms:W3CDTF">2023-04-13T13:46:00Z</dcterms:modified>
  <cp:contentStatus/>
</cp:coreProperties>
</file>